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04/01/2026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Urban Living LLC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payments@urbanliving.co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404 Urban Way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New York, NY  10001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April 2026 Management Fee (04/01/2026 - 04/30/2026) = $4,000.00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April 2026 Utility Management (04/01/2026 - 04/30/2026) = $100.00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April 2026 Inspection Fee (04/01/2026 - 04/30/2026) = $200.00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$4,300.00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