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Robert Johnson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rjohnson@emailprovider.com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888 Broadway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Nashville, TN  37203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$800.00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$800.00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